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rPr>
          <w:sz w:val="64"/>
          <w:szCs w:val="64"/>
          <w:u w:val="single"/>
        </w:rPr>
      </w:pPr>
      <w:r>
        <w:rPr>
          <w:rFonts w:eastAsia="ヒラギノ丸ゴ Pro" w:hint="eastAsia"/>
          <w:sz w:val="64"/>
          <w:szCs w:val="64"/>
          <w:u w:val="single"/>
          <w:rtl w:val="0"/>
          <w:lang w:val="ja-JP" w:eastAsia="ja-JP"/>
        </w:rPr>
        <w:t>ポジショニングトークの</w:t>
      </w:r>
      <w:r>
        <w:rPr>
          <w:rFonts w:ascii="ヒラギノ丸ゴ Pro" w:hAnsi="ヒラギノ丸ゴ Pro"/>
          <w:sz w:val="64"/>
          <w:szCs w:val="64"/>
          <w:u w:val="single"/>
          <w:rtl w:val="0"/>
          <w:lang w:val="ja-JP" w:eastAsia="ja-JP"/>
        </w:rPr>
        <w:t>4</w:t>
      </w:r>
      <w:r>
        <w:rPr>
          <w:rFonts w:eastAsia="ヒラギノ丸ゴ Pro" w:hint="eastAsia"/>
          <w:sz w:val="64"/>
          <w:szCs w:val="64"/>
          <w:u w:val="single"/>
          <w:rtl w:val="0"/>
          <w:lang w:val="ja-JP" w:eastAsia="ja-JP"/>
        </w:rPr>
        <w:t>要素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コンラボ流のポジショニング構築は、「ポジショニングトーク」の作成から始まります。</w:t>
      </w:r>
    </w:p>
    <w:p>
      <w:pPr>
        <w:pStyle w:val="本文"/>
        <w:bidi w:val="0"/>
      </w:pPr>
      <w:r>
        <w:rPr>
          <w:rtl w:val="0"/>
        </w:rPr>
        <w:t>以下の</w:t>
      </w:r>
      <w:r>
        <w:rPr>
          <w:rFonts w:ascii="ヒラギノ角ゴ ProN W3" w:hAnsi="ヒラギノ角ゴ ProN W3" w:eastAsia="Arial Unicode MS"/>
          <w:rtl w:val="0"/>
        </w:rPr>
        <w:t>4</w:t>
      </w:r>
      <w:r>
        <w:rPr>
          <w:rtl w:val="0"/>
        </w:rPr>
        <w:t>つの要素を考えていきましょう。</w:t>
      </w:r>
    </w:p>
    <w:p>
      <w:pPr>
        <w:pStyle w:val="本文"/>
        <w:bidi w:val="0"/>
      </w:pPr>
    </w:p>
    <w:p>
      <w:pPr>
        <w:pStyle w:val="本文"/>
        <w:rPr>
          <w:rFonts w:ascii="ヒラギノ角ゴ ProN W6" w:cs="ヒラギノ角ゴ ProN W6" w:hAnsi="ヒラギノ角ゴ ProN W6" w:eastAsia="ヒラギノ角ゴ ProN W6"/>
          <w:u w:val="single"/>
        </w:rPr>
      </w:pPr>
      <w:r>
        <w:rPr>
          <w:rFonts w:eastAsia="ヒラギノ角ゴ ProN W6" w:hint="eastAsia"/>
          <w:u w:val="single"/>
          <w:rtl w:val="0"/>
          <w:lang w:val="ja-JP" w:eastAsia="ja-JP"/>
        </w:rPr>
        <w:t>１．ターゲットを書いて下さい。</w:t>
      </w:r>
    </w:p>
    <w:p>
      <w:pPr>
        <w:pStyle w:val="本文"/>
        <w:rPr>
          <w:sz w:val="16"/>
          <w:szCs w:val="16"/>
        </w:rPr>
      </w:pPr>
      <w:r>
        <w:rPr>
          <w:sz w:val="16"/>
          <w:szCs w:val="16"/>
          <w:rtl w:val="0"/>
          <w:lang w:val="ja-JP" w:eastAsia="ja-JP"/>
        </w:rPr>
        <w:t>　</w:t>
      </w:r>
      <w:r>
        <w:rPr>
          <w:sz w:val="16"/>
          <w:szCs w:val="16"/>
          <w:rtl w:val="0"/>
        </w:rPr>
        <w:t>・</w:t>
      </w:r>
      <w:r>
        <w:rPr>
          <w:sz w:val="16"/>
          <w:szCs w:val="16"/>
          <w:rtl w:val="0"/>
          <w:lang w:val="ja-JP" w:eastAsia="ja-JP"/>
        </w:rPr>
        <w:t>どんな課題や悩み、目標を持っている人をコーチしたいのか</w:t>
      </w:r>
      <w:r>
        <w:rPr>
          <w:sz w:val="16"/>
          <w:szCs w:val="16"/>
          <w:rtl w:val="0"/>
        </w:rPr>
        <w:t>？</w:t>
      </w:r>
      <w:r>
        <w:rPr>
          <w:sz w:val="16"/>
          <w:szCs w:val="1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114200</wp:posOffset>
                </wp:positionV>
                <wp:extent cx="6410774" cy="1081733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774" cy="1081733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7E786C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0pt;margin-top:9.0pt;width:504.8pt;height:85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7E786C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  <w:r>
        <w:rPr>
          <w:rFonts w:ascii="ヒラギノ角ゴ ProN W3" w:hAnsi="ヒラギノ角ゴ ProN W3"/>
          <w:sz w:val="16"/>
          <w:szCs w:val="16"/>
          <w:rtl w:val="0"/>
        </w:rPr>
        <w:t xml:space="preserve"> </w:t>
      </w:r>
    </w:p>
    <w:p>
      <w:pPr>
        <w:pStyle w:val="本文"/>
        <w:rPr>
          <w:rFonts w:ascii="ヒラギノ角ゴ ProN W6" w:cs="ヒラギノ角ゴ ProN W6" w:hAnsi="ヒラギノ角ゴ ProN W6" w:eastAsia="ヒラギノ角ゴ ProN W6"/>
          <w:u w:val="single"/>
        </w:rPr>
      </w:pPr>
      <w:r>
        <w:rPr>
          <w:rFonts w:eastAsia="ヒラギノ角ゴ ProN W6" w:hint="eastAsia"/>
          <w:u w:val="single"/>
          <w:rtl w:val="0"/>
          <w:lang w:val="ja-JP" w:eastAsia="ja-JP"/>
        </w:rPr>
        <w:t>２．ベネフィット</w:t>
      </w:r>
      <w:r>
        <w:rPr>
          <w:rFonts w:eastAsia="ヒラギノ角ゴ ProN W6" w:hint="eastAsia"/>
          <w:u w:val="single"/>
          <w:rtl w:val="0"/>
          <w:lang w:val="ja-JP" w:eastAsia="ja-JP"/>
        </w:rPr>
        <w:t>を</w:t>
      </w:r>
      <w:r>
        <w:rPr>
          <w:rFonts w:eastAsia="ヒラギノ角ゴ ProN W6" w:hint="eastAsia"/>
          <w:u w:val="single"/>
          <w:rtl w:val="0"/>
          <w:lang w:val="ja-JP" w:eastAsia="ja-JP"/>
        </w:rPr>
        <w:t>書いて下さい。</w:t>
      </w:r>
    </w:p>
    <w:p>
      <w:pPr>
        <w:pStyle w:val="本文"/>
        <w:rPr>
          <w:sz w:val="16"/>
          <w:szCs w:val="16"/>
        </w:rPr>
      </w:pPr>
      <w:r>
        <w:rPr>
          <w:sz w:val="16"/>
          <w:szCs w:val="16"/>
          <w:rtl w:val="0"/>
          <w:lang w:val="ja-JP" w:eastAsia="ja-JP"/>
        </w:rPr>
        <w:t>　</w:t>
      </w:r>
      <w:r>
        <w:rPr>
          <w:sz w:val="16"/>
          <w:szCs w:val="16"/>
          <w:rtl w:val="0"/>
          <w:lang w:val="ja-JP" w:eastAsia="ja-JP"/>
        </w:rPr>
        <w:t>・どんな悩</w: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715237</wp:posOffset>
                </wp:positionH>
                <wp:positionV relativeFrom="page">
                  <wp:posOffset>6586852</wp:posOffset>
                </wp:positionV>
                <wp:extent cx="6415536" cy="1079366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536" cy="1079366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7E786C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6.3pt;margin-top:518.6pt;width:505.2pt;height:85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7E786C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710475</wp:posOffset>
                </wp:positionH>
                <wp:positionV relativeFrom="page">
                  <wp:posOffset>8335747</wp:posOffset>
                </wp:positionV>
                <wp:extent cx="6420299" cy="108112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299" cy="108112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7E786C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5.9pt;margin-top:656.4pt;width:505.5pt;height:85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7E786C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shape>
            </w:pict>
          </mc:Fallback>
        </mc:AlternateContent>
      </w:r>
      <w:r>
        <w:rPr>
          <w:sz w:val="16"/>
          <w:szCs w:val="16"/>
          <w:rtl w:val="0"/>
          <w:lang w:val="ja-JP" w:eastAsia="ja-JP"/>
        </w:rPr>
        <w:t>み・課題を解決するのか？</w:t>
      </w:r>
    </w:p>
    <w:p>
      <w:pPr>
        <w:pStyle w:val="本文"/>
        <w:rPr>
          <w:sz w:val="16"/>
          <w:szCs w:val="16"/>
        </w:rPr>
      </w:pPr>
      <w:r>
        <w:rPr>
          <w:sz w:val="16"/>
          <w:szCs w:val="16"/>
          <w:rtl w:val="0"/>
          <w:lang w:val="ja-JP" w:eastAsia="ja-JP"/>
        </w:rPr>
        <w:t>　</w:t>
      </w:r>
      <w:r>
        <w:rPr>
          <w:sz w:val="16"/>
          <w:szCs w:val="16"/>
          <w:rtl w:val="0"/>
          <w:lang w:val="ja-JP" w:eastAsia="ja-JP"/>
        </w:rPr>
        <w:t>・</w:t>
      </w:r>
      <w:r>
        <w:rPr>
          <w:sz w:val="16"/>
          <w:szCs w:val="16"/>
          <w:rtl w:val="0"/>
          <w:lang w:val="ja-JP" w:eastAsia="ja-JP"/>
        </w:rPr>
        <w:t>どんな結果・成果をもたらすのか？</w:t>
      </w:r>
      <w:r>
        <w:rPr>
          <w:sz w:val="16"/>
          <w:szCs w:val="1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-9524</wp:posOffset>
                </wp:positionH>
                <wp:positionV relativeFrom="line">
                  <wp:posOffset>116644</wp:posOffset>
                </wp:positionV>
                <wp:extent cx="6420299" cy="108154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299" cy="1081549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7E786C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0.7pt;margin-top:9.2pt;width:505.5pt;height:85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7E786C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</w:p>
    <w:p>
      <w:pPr>
        <w:pStyle w:val="本文"/>
        <w:rPr>
          <w:rFonts w:ascii="ヒラギノ角ゴ ProN W6" w:cs="ヒラギノ角ゴ ProN W6" w:hAnsi="ヒラギノ角ゴ ProN W6" w:eastAsia="ヒラギノ角ゴ ProN W6"/>
          <w:u w:val="single"/>
        </w:rPr>
      </w:pPr>
      <w:r>
        <w:rPr>
          <w:rFonts w:eastAsia="ヒラギノ角ゴ ProN W6" w:hint="eastAsia"/>
          <w:u w:val="single"/>
          <w:rtl w:val="0"/>
          <w:lang w:val="ja-JP" w:eastAsia="ja-JP"/>
        </w:rPr>
        <w:t>３．メソッドを書いて下さい。</w:t>
      </w:r>
    </w:p>
    <w:p>
      <w:pPr>
        <w:pStyle w:val="本文"/>
        <w:rPr>
          <w:sz w:val="16"/>
          <w:szCs w:val="16"/>
        </w:rPr>
      </w:pPr>
      <w:r>
        <w:rPr>
          <w:sz w:val="16"/>
          <w:szCs w:val="16"/>
          <w:rtl w:val="0"/>
          <w:lang w:val="ja-JP" w:eastAsia="ja-JP"/>
        </w:rPr>
        <w:t>　</w:t>
      </w:r>
      <w:r>
        <w:rPr>
          <w:sz w:val="16"/>
          <w:szCs w:val="16"/>
          <w:rtl w:val="0"/>
          <w:lang w:val="ja-JP" w:eastAsia="ja-JP"/>
        </w:rPr>
        <w:t>・どんな手法を使ってベネフィットを提供するのか</w:t>
      </w:r>
      <w:r>
        <w:rPr>
          <w:sz w:val="16"/>
          <w:szCs w:val="16"/>
          <w:rtl w:val="0"/>
          <w:lang w:val="ja-JP" w:eastAsia="ja-JP"/>
        </w:rPr>
        <w:t>？</w:t>
      </w:r>
    </w:p>
    <w:p>
      <w:pPr>
        <w:pStyle w:val="本文"/>
        <w:rPr>
          <w:sz w:val="16"/>
          <w:szCs w:val="16"/>
        </w:rPr>
      </w:pPr>
      <w:r>
        <w:rPr>
          <w:sz w:val="16"/>
          <w:szCs w:val="16"/>
          <w:rtl w:val="0"/>
          <w:lang w:val="ja-JP" w:eastAsia="ja-JP"/>
        </w:rPr>
        <w:t>　　例）「コーチングとマーケティングの両輪で</w:t>
      </w:r>
      <w:r>
        <w:rPr>
          <w:rFonts w:ascii="ヒラギノ角ゴ ProN W3" w:hAnsi="ヒラギノ角ゴ ProN W3" w:hint="default"/>
          <w:sz w:val="16"/>
          <w:szCs w:val="16"/>
          <w:rtl w:val="0"/>
          <w:lang w:val="ja-JP" w:eastAsia="ja-JP"/>
        </w:rPr>
        <w:t>…</w:t>
      </w:r>
      <w:r>
        <w:rPr>
          <w:sz w:val="16"/>
          <w:szCs w:val="16"/>
          <w:rtl w:val="0"/>
          <w:lang w:val="ja-JP" w:eastAsia="ja-JP"/>
        </w:rPr>
        <w:t>」</w:t>
      </w:r>
    </w:p>
    <w:p>
      <w:pPr>
        <w:pStyle w:val="本文"/>
        <w:rPr>
          <w:sz w:val="16"/>
          <w:szCs w:val="16"/>
        </w:rPr>
      </w:pPr>
      <w:r>
        <w:rPr>
          <w:sz w:val="16"/>
          <w:szCs w:val="16"/>
          <w:rtl w:val="0"/>
          <w:lang w:val="ja-JP" w:eastAsia="ja-JP"/>
        </w:rPr>
        <w:t>　　　　「</w:t>
      </w:r>
      <w:r>
        <w:rPr>
          <w:rFonts w:ascii="ヒラギノ角ゴ ProN W3" w:hAnsi="ヒラギノ角ゴ ProN W3"/>
          <w:sz w:val="16"/>
          <w:szCs w:val="16"/>
          <w:rtl w:val="0"/>
          <w:lang w:val="ja-JP" w:eastAsia="ja-JP"/>
        </w:rPr>
        <w:t>5</w:t>
      </w:r>
      <w:r>
        <w:rPr>
          <w:sz w:val="16"/>
          <w:szCs w:val="16"/>
          <w:rtl w:val="0"/>
          <w:lang w:val="ja-JP" w:eastAsia="ja-JP"/>
        </w:rPr>
        <w:t>段階の習慣化メソッドを使って</w:t>
      </w:r>
      <w:r>
        <w:rPr>
          <w:rFonts w:ascii="ヒラギノ角ゴ ProN W3" w:hAnsi="ヒラギノ角ゴ ProN W3" w:hint="default"/>
          <w:sz w:val="16"/>
          <w:szCs w:val="16"/>
          <w:rtl w:val="0"/>
          <w:lang w:val="ja-JP" w:eastAsia="ja-JP"/>
        </w:rPr>
        <w:t>…</w:t>
      </w:r>
      <w:r>
        <w:rPr>
          <w:sz w:val="16"/>
          <w:szCs w:val="16"/>
          <w:rtl w:val="0"/>
          <w:lang w:val="ja-JP" w:eastAsia="ja-JP"/>
        </w:rPr>
        <w:t>」</w:t>
      </w:r>
    </w:p>
    <w:p>
      <w:pPr>
        <w:pStyle w:val="本文"/>
        <w:rPr>
          <w:rFonts w:ascii="ヒラギノ角ゴ ProN W6" w:cs="ヒラギノ角ゴ ProN W6" w:hAnsi="ヒラギノ角ゴ ProN W6" w:eastAsia="ヒラギノ角ゴ ProN W6"/>
          <w:sz w:val="24"/>
          <w:szCs w:val="24"/>
          <w:u w:val="single"/>
        </w:rPr>
      </w:pPr>
      <w:r>
        <w:rPr>
          <w:rFonts w:eastAsia="ヒラギノ角ゴ ProN W6" w:hint="eastAsia"/>
          <w:sz w:val="24"/>
          <w:szCs w:val="24"/>
          <w:u w:val="single"/>
          <w:rtl w:val="0"/>
          <w:lang w:val="ja-JP" w:eastAsia="ja-JP"/>
        </w:rPr>
        <w:t>４．特記事項</w:t>
      </w:r>
    </w:p>
    <w:p>
      <w:pPr>
        <w:pStyle w:val="本文"/>
      </w:pPr>
      <w:r>
        <w:rPr>
          <w:sz w:val="16"/>
          <w:szCs w:val="16"/>
          <w:rtl w:val="0"/>
          <w:lang w:val="ja-JP" w:eastAsia="ja-JP"/>
        </w:rPr>
        <w:t>　</w:t>
      </w:r>
      <w:r>
        <w:rPr>
          <w:sz w:val="16"/>
          <w:szCs w:val="16"/>
          <w:rtl w:val="0"/>
          <w:lang w:val="ja-JP" w:eastAsia="ja-JP"/>
        </w:rPr>
        <w:t>・特別な実績、特別なサービス、特別な</w:t>
      </w:r>
      <w:r>
        <w:rPr>
          <w:rFonts w:ascii="ヒラギノ角ゴ ProN W3" w:hAnsi="ヒラギノ角ゴ ProN W3" w:hint="default"/>
          <w:sz w:val="16"/>
          <w:szCs w:val="16"/>
          <w:rtl w:val="0"/>
        </w:rPr>
        <w:t>…</w:t>
      </w: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ヒラギノ丸ゴ Pro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tabs>
        <w:tab w:val="center" w:pos="4819"/>
        <w:tab w:val="right" w:pos="9638"/>
        <w:tab w:val="clear" w:pos="9020"/>
      </w:tabs>
      <w:suppressAutoHyphens w:val="1"/>
      <w:jc w:val="left"/>
      <w:outlineLvl w:val="0"/>
    </w:pPr>
    <w:r>
      <w:rPr>
        <w:rFonts w:ascii="Helvetica" w:hAnsi="Helvetica"/>
        <w:b w:val="1"/>
        <w:bCs w:val="1"/>
        <w:color w:val="a5a5a5"/>
        <w:sz w:val="14"/>
        <w:szCs w:val="14"/>
        <w:rtl w:val="0"/>
        <w:lang w:val="en-US"/>
      </w:rPr>
      <w:tab/>
      <w:t xml:space="preserve">Copyright 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color w:val="a5a5a5"/>
        <w:sz w:val="14"/>
        <w:szCs w:val="14"/>
        <w:rtl w:val="0"/>
        <w:lang w:val="ja-JP" w:eastAsia="ja-JP"/>
      </w:rPr>
      <w:t>一般社団法人日本マーケティングコーチ協会＆株式会社コンサルタントラボラトリー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